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DC1" w:rsidRDefault="00FB6CBD">
      <w:pPr>
        <w:pStyle w:val="Nadpis1"/>
        <w:spacing w:before="17"/>
      </w:pPr>
      <w:r>
        <w:t xml:space="preserve">Maturitní otázky </w:t>
      </w:r>
    </w:p>
    <w:p w:rsidR="00266DC1" w:rsidRDefault="00FB6CBD">
      <w:pPr>
        <w:spacing w:before="1"/>
        <w:ind w:left="4065"/>
        <w:rPr>
          <w:rFonts w:ascii="Carlito"/>
          <w:b/>
          <w:sz w:val="32"/>
        </w:rPr>
      </w:pPr>
      <w:r>
        <w:rPr>
          <w:rFonts w:ascii="Carlito"/>
          <w:b/>
          <w:sz w:val="32"/>
        </w:rPr>
        <w:t>6. A, B, C</w:t>
      </w:r>
    </w:p>
    <w:p w:rsidR="00266DC1" w:rsidRDefault="00266DC1">
      <w:pPr>
        <w:pStyle w:val="Zkladntext"/>
        <w:spacing w:before="11"/>
        <w:rPr>
          <w:rFonts w:ascii="Carlito"/>
          <w:b/>
          <w:sz w:val="31"/>
        </w:rPr>
      </w:pPr>
    </w:p>
    <w:p w:rsidR="00266DC1" w:rsidRDefault="00FB6CBD">
      <w:pPr>
        <w:ind w:left="2642" w:right="2644"/>
        <w:jc w:val="center"/>
        <w:rPr>
          <w:rFonts w:ascii="Carlito" w:hAnsi="Carlito"/>
          <w:b/>
          <w:sz w:val="32"/>
        </w:rPr>
      </w:pPr>
      <w:r>
        <w:rPr>
          <w:rFonts w:ascii="Carlito" w:hAnsi="Carlito"/>
          <w:b/>
          <w:sz w:val="32"/>
        </w:rPr>
        <w:t>VÝTVARNÁ VÝCHOVA</w:t>
      </w:r>
    </w:p>
    <w:p w:rsidR="00266DC1" w:rsidRDefault="00FB6CBD">
      <w:pPr>
        <w:pStyle w:val="Nadpis2"/>
        <w:numPr>
          <w:ilvl w:val="0"/>
          <w:numId w:val="1"/>
        </w:numPr>
        <w:tabs>
          <w:tab w:val="left" w:pos="836"/>
          <w:tab w:val="left" w:pos="837"/>
        </w:tabs>
        <w:spacing w:before="263" w:line="240" w:lineRule="auto"/>
        <w:ind w:hanging="721"/>
      </w:pPr>
      <w:r>
        <w:t>Pravěké</w:t>
      </w:r>
      <w:r>
        <w:rPr>
          <w:spacing w:val="-1"/>
        </w:rPr>
        <w:t xml:space="preserve"> </w:t>
      </w:r>
      <w:r>
        <w:t>umění</w:t>
      </w:r>
    </w:p>
    <w:p w:rsidR="00266DC1" w:rsidRDefault="00FB6CBD">
      <w:pPr>
        <w:pStyle w:val="Zkladntext"/>
        <w:spacing w:before="2"/>
        <w:ind w:left="836"/>
      </w:pPr>
      <w:r>
        <w:t>(</w:t>
      </w:r>
      <w:r w:rsidR="006165DF">
        <w:t>Počátky umění</w:t>
      </w:r>
      <w:r w:rsidR="00793F4E">
        <w:t xml:space="preserve">, </w:t>
      </w:r>
      <w:r w:rsidR="002853A8">
        <w:t>u</w:t>
      </w:r>
      <w:r w:rsidR="00BA1730">
        <w:t>mění přírodních národů</w:t>
      </w:r>
      <w:r w:rsidR="00793F4E">
        <w:t>, m</w:t>
      </w:r>
      <w:r w:rsidR="006165DF">
        <w:t>alířství, sochařství, architektura, užité umění)</w:t>
      </w:r>
    </w:p>
    <w:p w:rsidR="00266DC1" w:rsidRDefault="00266DC1">
      <w:pPr>
        <w:pStyle w:val="Zkladntext"/>
      </w:pPr>
    </w:p>
    <w:p w:rsidR="00266DC1" w:rsidRDefault="006165DF">
      <w:pPr>
        <w:pStyle w:val="Nadpis2"/>
        <w:numPr>
          <w:ilvl w:val="0"/>
          <w:numId w:val="1"/>
        </w:numPr>
        <w:tabs>
          <w:tab w:val="left" w:pos="836"/>
          <w:tab w:val="left" w:pos="837"/>
        </w:tabs>
        <w:ind w:hanging="721"/>
      </w:pPr>
      <w:r>
        <w:t>Starověké umění</w:t>
      </w:r>
    </w:p>
    <w:p w:rsidR="00266DC1" w:rsidRDefault="00FB6CBD">
      <w:pPr>
        <w:pStyle w:val="Zkladntext"/>
        <w:spacing w:line="252" w:lineRule="exact"/>
        <w:ind w:left="836"/>
      </w:pPr>
      <w:r>
        <w:t>(</w:t>
      </w:r>
      <w:r w:rsidR="006165DF">
        <w:t>Egypt – architektura, malířství, sochařství</w:t>
      </w:r>
      <w:r w:rsidR="00793F4E">
        <w:t>,</w:t>
      </w:r>
      <w:r w:rsidR="006165DF">
        <w:t xml:space="preserve"> Sumerská říše, Persi</w:t>
      </w:r>
      <w:r w:rsidR="00793F4E">
        <w:t>e</w:t>
      </w:r>
      <w:r>
        <w:t>)</w:t>
      </w:r>
    </w:p>
    <w:p w:rsidR="00266DC1" w:rsidRDefault="00266DC1">
      <w:pPr>
        <w:pStyle w:val="Zkladntext"/>
        <w:spacing w:before="1"/>
      </w:pPr>
    </w:p>
    <w:p w:rsidR="00266DC1" w:rsidRDefault="00FB6CBD">
      <w:pPr>
        <w:pStyle w:val="Nadpis2"/>
        <w:numPr>
          <w:ilvl w:val="0"/>
          <w:numId w:val="1"/>
        </w:numPr>
        <w:tabs>
          <w:tab w:val="left" w:pos="836"/>
          <w:tab w:val="left" w:pos="837"/>
        </w:tabs>
        <w:ind w:hanging="721"/>
      </w:pPr>
      <w:r>
        <w:t>Umění oblasti Egejského</w:t>
      </w:r>
      <w:r>
        <w:rPr>
          <w:spacing w:val="-3"/>
        </w:rPr>
        <w:t xml:space="preserve"> </w:t>
      </w:r>
      <w:r>
        <w:t>moře</w:t>
      </w:r>
    </w:p>
    <w:p w:rsidR="00266DC1" w:rsidRDefault="00FB6CBD">
      <w:pPr>
        <w:pStyle w:val="Zkladntext"/>
        <w:spacing w:line="252" w:lineRule="exact"/>
        <w:ind w:left="836"/>
      </w:pPr>
      <w:r>
        <w:t>(Kréta, Mykény</w:t>
      </w:r>
      <w:r w:rsidR="00793F4E">
        <w:t>,</w:t>
      </w:r>
      <w:r>
        <w:t xml:space="preserve"> Řecko </w:t>
      </w:r>
      <w:r w:rsidR="006165DF">
        <w:t>–</w:t>
      </w:r>
      <w:r>
        <w:t xml:space="preserve"> </w:t>
      </w:r>
      <w:r w:rsidR="006165DF">
        <w:t>architektonické slohy, kánon, malířství,</w:t>
      </w:r>
      <w:r>
        <w:t xml:space="preserve"> sochařství)</w:t>
      </w:r>
    </w:p>
    <w:p w:rsidR="00266DC1" w:rsidRDefault="00266DC1">
      <w:pPr>
        <w:pStyle w:val="Zkladntext"/>
        <w:spacing w:before="1"/>
      </w:pPr>
    </w:p>
    <w:p w:rsidR="00266DC1" w:rsidRDefault="00FB6CBD">
      <w:pPr>
        <w:pStyle w:val="Nadpis2"/>
        <w:numPr>
          <w:ilvl w:val="0"/>
          <w:numId w:val="1"/>
        </w:numPr>
        <w:tabs>
          <w:tab w:val="left" w:pos="836"/>
          <w:tab w:val="left" w:pos="837"/>
        </w:tabs>
        <w:ind w:hanging="721"/>
      </w:pPr>
      <w:r>
        <w:t>Umění Říma</w:t>
      </w:r>
    </w:p>
    <w:p w:rsidR="00266DC1" w:rsidRDefault="00FB6CBD">
      <w:pPr>
        <w:pStyle w:val="Zkladntext"/>
        <w:spacing w:line="252" w:lineRule="exact"/>
        <w:ind w:left="836"/>
      </w:pPr>
      <w:r>
        <w:t>(Porovnání s řeckým uměním</w:t>
      </w:r>
      <w:r w:rsidR="00CF37F1">
        <w:t>,</w:t>
      </w:r>
      <w:bookmarkStart w:id="0" w:name="_GoBack"/>
      <w:bookmarkEnd w:id="0"/>
      <w:r w:rsidR="006165DF">
        <w:t xml:space="preserve"> </w:t>
      </w:r>
      <w:r w:rsidR="002853A8">
        <w:t>římské m</w:t>
      </w:r>
      <w:r w:rsidR="006165DF">
        <w:t>alířství, sochařství, architektura, užité umění)</w:t>
      </w:r>
    </w:p>
    <w:p w:rsidR="00266DC1" w:rsidRDefault="00266DC1">
      <w:pPr>
        <w:pStyle w:val="Zkladntext"/>
      </w:pPr>
    </w:p>
    <w:p w:rsidR="00266DC1" w:rsidRDefault="00FB6CBD">
      <w:pPr>
        <w:pStyle w:val="Nadpis2"/>
        <w:numPr>
          <w:ilvl w:val="0"/>
          <w:numId w:val="1"/>
        </w:numPr>
        <w:tabs>
          <w:tab w:val="left" w:pos="836"/>
          <w:tab w:val="left" w:pos="837"/>
        </w:tabs>
        <w:spacing w:line="240" w:lineRule="auto"/>
        <w:ind w:hanging="721"/>
      </w:pPr>
      <w:r>
        <w:t>Románské</w:t>
      </w:r>
      <w:r>
        <w:rPr>
          <w:spacing w:val="-2"/>
        </w:rPr>
        <w:t xml:space="preserve"> </w:t>
      </w:r>
      <w:r>
        <w:t>umění</w:t>
      </w:r>
    </w:p>
    <w:p w:rsidR="00266DC1" w:rsidRDefault="00FB6CBD">
      <w:pPr>
        <w:pStyle w:val="Zkladntext"/>
        <w:spacing w:before="2"/>
        <w:ind w:left="836"/>
      </w:pPr>
      <w:r>
        <w:t>(Hlavní rysy architektury, památky světové a české</w:t>
      </w:r>
      <w:r w:rsidR="00793F4E">
        <w:t>,</w:t>
      </w:r>
      <w:r>
        <w:t xml:space="preserve"> </w:t>
      </w:r>
      <w:r w:rsidR="006165DF">
        <w:t>malířství, sochařství, užité umění</w:t>
      </w:r>
      <w:r>
        <w:t>)</w:t>
      </w:r>
    </w:p>
    <w:p w:rsidR="00266DC1" w:rsidRDefault="00266DC1">
      <w:pPr>
        <w:pStyle w:val="Zkladntext"/>
        <w:spacing w:before="9"/>
        <w:rPr>
          <w:sz w:val="21"/>
        </w:rPr>
      </w:pPr>
    </w:p>
    <w:p w:rsidR="00266DC1" w:rsidRDefault="00FB6CBD">
      <w:pPr>
        <w:pStyle w:val="Nadpis2"/>
        <w:numPr>
          <w:ilvl w:val="0"/>
          <w:numId w:val="1"/>
        </w:numPr>
        <w:tabs>
          <w:tab w:val="left" w:pos="836"/>
          <w:tab w:val="left" w:pos="837"/>
        </w:tabs>
        <w:spacing w:line="240" w:lineRule="auto"/>
        <w:ind w:hanging="721"/>
      </w:pPr>
      <w:r>
        <w:t>Gotika</w:t>
      </w:r>
    </w:p>
    <w:p w:rsidR="00266DC1" w:rsidRDefault="00FB6CBD">
      <w:pPr>
        <w:pStyle w:val="Zkladntext"/>
        <w:spacing w:before="2"/>
        <w:ind w:left="836"/>
      </w:pPr>
      <w:r>
        <w:t>(</w:t>
      </w:r>
      <w:r w:rsidR="006165DF">
        <w:t>Hlavní rysy</w:t>
      </w:r>
      <w:r>
        <w:t xml:space="preserve"> architektury</w:t>
      </w:r>
      <w:r w:rsidR="006165DF">
        <w:t>,</w:t>
      </w:r>
      <w:r w:rsidR="006165DF" w:rsidRPr="006165DF">
        <w:t xml:space="preserve"> </w:t>
      </w:r>
      <w:r w:rsidR="006165DF">
        <w:t>malířství, sochařství, architektura, užité umění,</w:t>
      </w:r>
      <w:r w:rsidR="006165DF" w:rsidRPr="006165DF">
        <w:t xml:space="preserve"> </w:t>
      </w:r>
      <w:r w:rsidR="006165DF">
        <w:t>památky světové a české</w:t>
      </w:r>
      <w:r>
        <w:t>)</w:t>
      </w:r>
    </w:p>
    <w:p w:rsidR="00266DC1" w:rsidRDefault="00266DC1">
      <w:pPr>
        <w:pStyle w:val="Zkladntext"/>
      </w:pPr>
    </w:p>
    <w:p w:rsidR="00266DC1" w:rsidRDefault="00FB6CBD">
      <w:pPr>
        <w:pStyle w:val="Nadpis2"/>
        <w:numPr>
          <w:ilvl w:val="0"/>
          <w:numId w:val="1"/>
        </w:numPr>
        <w:tabs>
          <w:tab w:val="left" w:pos="836"/>
          <w:tab w:val="left" w:pos="837"/>
        </w:tabs>
        <w:ind w:hanging="721"/>
      </w:pPr>
      <w:r>
        <w:t>Renesance v</w:t>
      </w:r>
      <w:r>
        <w:rPr>
          <w:spacing w:val="-1"/>
        </w:rPr>
        <w:t xml:space="preserve"> </w:t>
      </w:r>
      <w:r>
        <w:t>Itálii</w:t>
      </w:r>
    </w:p>
    <w:p w:rsidR="00266DC1" w:rsidRDefault="00FB6CBD">
      <w:pPr>
        <w:pStyle w:val="Zkladntext"/>
        <w:ind w:left="1537" w:right="1024" w:hanging="701"/>
      </w:pPr>
      <w:r>
        <w:t>(Charakteristika doby</w:t>
      </w:r>
      <w:r w:rsidR="00793F4E">
        <w:t>,</w:t>
      </w:r>
      <w:r>
        <w:t xml:space="preserve"> architektura</w:t>
      </w:r>
      <w:r w:rsidR="00793F4E">
        <w:t>,</w:t>
      </w:r>
      <w:r>
        <w:t xml:space="preserve"> hlavní osobnosti sochařství a malby</w:t>
      </w:r>
      <w:r w:rsidR="006165DF">
        <w:t>)</w:t>
      </w:r>
    </w:p>
    <w:p w:rsidR="00266DC1" w:rsidRDefault="00266DC1">
      <w:pPr>
        <w:pStyle w:val="Zkladntext"/>
        <w:spacing w:before="10"/>
        <w:rPr>
          <w:sz w:val="21"/>
        </w:rPr>
      </w:pPr>
    </w:p>
    <w:p w:rsidR="00266DC1" w:rsidRDefault="00FB6CBD">
      <w:pPr>
        <w:pStyle w:val="Nadpis2"/>
        <w:numPr>
          <w:ilvl w:val="0"/>
          <w:numId w:val="1"/>
        </w:numPr>
        <w:tabs>
          <w:tab w:val="left" w:pos="836"/>
          <w:tab w:val="left" w:pos="837"/>
        </w:tabs>
        <w:spacing w:before="1" w:line="240" w:lineRule="auto"/>
        <w:ind w:hanging="721"/>
      </w:pPr>
      <w:r>
        <w:t>Renesance v dalších evropských</w:t>
      </w:r>
      <w:r>
        <w:rPr>
          <w:spacing w:val="-1"/>
        </w:rPr>
        <w:t xml:space="preserve"> </w:t>
      </w:r>
      <w:r>
        <w:t>zemích</w:t>
      </w:r>
    </w:p>
    <w:p w:rsidR="00266DC1" w:rsidRDefault="00FB6CBD">
      <w:pPr>
        <w:pStyle w:val="Zkladntext"/>
        <w:spacing w:before="1"/>
        <w:ind w:left="836"/>
      </w:pPr>
      <w:r>
        <w:t>(</w:t>
      </w:r>
      <w:r w:rsidR="00044CEC">
        <w:t>Výčet oblastí, malířství, sochařství, architektura, užité umění</w:t>
      </w:r>
      <w:r w:rsidR="00793F4E">
        <w:t>,</w:t>
      </w:r>
      <w:r>
        <w:t xml:space="preserve"> česká renesance)</w:t>
      </w:r>
    </w:p>
    <w:p w:rsidR="00266DC1" w:rsidRDefault="00266DC1">
      <w:pPr>
        <w:pStyle w:val="Zkladntext"/>
        <w:spacing w:before="1"/>
      </w:pPr>
    </w:p>
    <w:p w:rsidR="00266DC1" w:rsidRDefault="007C797D">
      <w:pPr>
        <w:pStyle w:val="Nadpis2"/>
        <w:numPr>
          <w:ilvl w:val="0"/>
          <w:numId w:val="1"/>
        </w:numPr>
        <w:tabs>
          <w:tab w:val="left" w:pos="836"/>
          <w:tab w:val="left" w:pos="837"/>
        </w:tabs>
        <w:ind w:hanging="721"/>
      </w:pPr>
      <w:r>
        <w:t>Světové barokní umění a klasicismus</w:t>
      </w:r>
    </w:p>
    <w:p w:rsidR="00266DC1" w:rsidRDefault="00FB6CBD">
      <w:pPr>
        <w:pStyle w:val="Zkladntext"/>
        <w:ind w:left="1537" w:right="359" w:hanging="701"/>
      </w:pPr>
      <w:r>
        <w:t>(</w:t>
      </w:r>
      <w:r w:rsidR="00B71938">
        <w:t>Malířství, sochařství, architektura</w:t>
      </w:r>
      <w:r>
        <w:t xml:space="preserve">, hlavní </w:t>
      </w:r>
      <w:proofErr w:type="gramStart"/>
      <w:r>
        <w:t>osobnosti - Rembrandt</w:t>
      </w:r>
      <w:proofErr w:type="gramEnd"/>
      <w:r>
        <w:t xml:space="preserve">, </w:t>
      </w:r>
      <w:proofErr w:type="spellStart"/>
      <w:r>
        <w:t>Rubens</w:t>
      </w:r>
      <w:proofErr w:type="spellEnd"/>
      <w:r>
        <w:t xml:space="preserve">, </w:t>
      </w:r>
      <w:proofErr w:type="spellStart"/>
      <w:r>
        <w:t>Vermeer</w:t>
      </w:r>
      <w:proofErr w:type="spellEnd"/>
      <w:r w:rsidR="00B71938">
        <w:t>,</w:t>
      </w:r>
      <w:r w:rsidR="00CD189B">
        <w:t xml:space="preserve"> </w:t>
      </w:r>
      <w:proofErr w:type="spellStart"/>
      <w:r>
        <w:t>Velázquez</w:t>
      </w:r>
      <w:proofErr w:type="spellEnd"/>
      <w:r w:rsidR="007C797D">
        <w:t>…</w:t>
      </w:r>
      <w:r w:rsidR="002853A8">
        <w:t xml:space="preserve"> </w:t>
      </w:r>
      <w:r w:rsidR="007C797D">
        <w:t>Srovnání obou směrů</w:t>
      </w:r>
      <w:r w:rsidR="000C5515">
        <w:t>, rokoko,</w:t>
      </w:r>
      <w:r w:rsidR="00CD189B">
        <w:t xml:space="preserve"> </w:t>
      </w:r>
      <w:r w:rsidR="000C5515">
        <w:t>empír</w:t>
      </w:r>
      <w:r>
        <w:t>)</w:t>
      </w:r>
    </w:p>
    <w:p w:rsidR="00266DC1" w:rsidRDefault="00266DC1">
      <w:pPr>
        <w:pStyle w:val="Zkladntext"/>
        <w:spacing w:before="10"/>
        <w:rPr>
          <w:sz w:val="21"/>
        </w:rPr>
      </w:pPr>
    </w:p>
    <w:p w:rsidR="00266DC1" w:rsidRDefault="00FB6CBD">
      <w:pPr>
        <w:pStyle w:val="Nadpis2"/>
        <w:numPr>
          <w:ilvl w:val="0"/>
          <w:numId w:val="1"/>
        </w:numPr>
        <w:tabs>
          <w:tab w:val="left" w:pos="836"/>
          <w:tab w:val="left" w:pos="837"/>
        </w:tabs>
        <w:spacing w:line="240" w:lineRule="auto"/>
        <w:ind w:hanging="721"/>
      </w:pPr>
      <w:r>
        <w:t>Barokní umění v</w:t>
      </w:r>
      <w:r>
        <w:rPr>
          <w:spacing w:val="1"/>
        </w:rPr>
        <w:t xml:space="preserve"> </w:t>
      </w:r>
      <w:r>
        <w:t>Čechách</w:t>
      </w:r>
    </w:p>
    <w:p w:rsidR="00266DC1" w:rsidRDefault="00FB6CBD">
      <w:pPr>
        <w:pStyle w:val="Zkladntext"/>
        <w:spacing w:before="2"/>
        <w:ind w:left="1537" w:right="1000" w:hanging="701"/>
      </w:pPr>
      <w:r>
        <w:t>(</w:t>
      </w:r>
      <w:r w:rsidR="001438CD">
        <w:t>Baroko a rokoko, m</w:t>
      </w:r>
      <w:r w:rsidR="00B71938">
        <w:t xml:space="preserve">alířství, sochařství, architektura, užité umění, </w:t>
      </w:r>
      <w:r>
        <w:t xml:space="preserve">hl. osobnosti </w:t>
      </w:r>
      <w:r w:rsidR="00B71938">
        <w:t>–</w:t>
      </w:r>
      <w:r>
        <w:t xml:space="preserve"> </w:t>
      </w:r>
      <w:proofErr w:type="spellStart"/>
      <w:r>
        <w:t>Dienzenhofer</w:t>
      </w:r>
      <w:r w:rsidR="00B71938">
        <w:t>ové</w:t>
      </w:r>
      <w:proofErr w:type="spellEnd"/>
      <w:r w:rsidR="00B71938">
        <w:t xml:space="preserve">, </w:t>
      </w:r>
      <w:r>
        <w:t>Braun</w:t>
      </w:r>
      <w:r w:rsidR="00793F4E">
        <w:t xml:space="preserve">, </w:t>
      </w:r>
      <w:r>
        <w:t>Brandl</w:t>
      </w:r>
      <w:r w:rsidR="00B71938">
        <w:t>,</w:t>
      </w:r>
      <w:r w:rsidR="00793F4E">
        <w:t xml:space="preserve"> </w:t>
      </w:r>
      <w:proofErr w:type="spellStart"/>
      <w:r w:rsidR="00B71938">
        <w:t>Hollar</w:t>
      </w:r>
      <w:proofErr w:type="spellEnd"/>
      <w:r>
        <w:t>)</w:t>
      </w:r>
    </w:p>
    <w:p w:rsidR="00266DC1" w:rsidRDefault="00266DC1">
      <w:pPr>
        <w:pStyle w:val="Zkladntext"/>
        <w:spacing w:before="10"/>
        <w:rPr>
          <w:sz w:val="21"/>
        </w:rPr>
      </w:pPr>
    </w:p>
    <w:p w:rsidR="00266DC1" w:rsidRDefault="00BA1730">
      <w:pPr>
        <w:pStyle w:val="Nadpis2"/>
        <w:numPr>
          <w:ilvl w:val="0"/>
          <w:numId w:val="1"/>
        </w:numPr>
        <w:tabs>
          <w:tab w:val="left" w:pos="836"/>
          <w:tab w:val="left" w:pos="837"/>
        </w:tabs>
        <w:spacing w:before="1"/>
        <w:ind w:hanging="721"/>
      </w:pPr>
      <w:r>
        <w:t>R</w:t>
      </w:r>
      <w:r w:rsidR="0059620F">
        <w:t>omantismus, realismus</w:t>
      </w:r>
    </w:p>
    <w:p w:rsidR="00266DC1" w:rsidRDefault="00FB6CBD">
      <w:pPr>
        <w:pStyle w:val="Zkladntext"/>
        <w:tabs>
          <w:tab w:val="left" w:leader="dot" w:pos="3211"/>
        </w:tabs>
        <w:ind w:left="1537" w:right="880" w:hanging="701"/>
      </w:pPr>
      <w:r>
        <w:t>(Charakteristika a porovnání s</w:t>
      </w:r>
      <w:r w:rsidR="0059620F">
        <w:t>měrů</w:t>
      </w:r>
      <w:r w:rsidR="00793F4E">
        <w:t>,</w:t>
      </w:r>
      <w:r>
        <w:t xml:space="preserve"> </w:t>
      </w:r>
      <w:r w:rsidR="0059620F">
        <w:t>malířství, sochařství, architektura</w:t>
      </w:r>
      <w:r>
        <w:t xml:space="preserve">, pseudohistorické slohy </w:t>
      </w:r>
      <w:r w:rsidR="000C5515">
        <w:t>v Čechách</w:t>
      </w:r>
      <w:r>
        <w:t>)</w:t>
      </w:r>
    </w:p>
    <w:p w:rsidR="00266DC1" w:rsidRDefault="00266DC1">
      <w:pPr>
        <w:pStyle w:val="Zkladntext"/>
      </w:pPr>
    </w:p>
    <w:p w:rsidR="00266DC1" w:rsidRDefault="00FB6CBD" w:rsidP="0059620F">
      <w:pPr>
        <w:pStyle w:val="Nadpis2"/>
        <w:numPr>
          <w:ilvl w:val="0"/>
          <w:numId w:val="1"/>
        </w:numPr>
        <w:tabs>
          <w:tab w:val="left" w:pos="836"/>
          <w:tab w:val="left" w:pos="837"/>
        </w:tabs>
        <w:ind w:hanging="721"/>
      </w:pPr>
      <w:r>
        <w:t>Impresionismus</w:t>
      </w:r>
      <w:r w:rsidR="0059620F">
        <w:t xml:space="preserve"> a postimpresionismus</w:t>
      </w:r>
    </w:p>
    <w:p w:rsidR="00266DC1" w:rsidRDefault="00FB6CBD">
      <w:pPr>
        <w:pStyle w:val="Zkladntext"/>
        <w:tabs>
          <w:tab w:val="left" w:leader="dot" w:pos="6382"/>
        </w:tabs>
        <w:spacing w:line="252" w:lineRule="exact"/>
        <w:ind w:left="836"/>
      </w:pPr>
      <w:r>
        <w:t>(Charakteristika směr</w:t>
      </w:r>
      <w:r w:rsidR="000C5515">
        <w:t>ů</w:t>
      </w:r>
      <w:r w:rsidR="0059620F">
        <w:t>, český impresionismus</w:t>
      </w:r>
      <w:r>
        <w:t>)</w:t>
      </w:r>
    </w:p>
    <w:p w:rsidR="00266DC1" w:rsidRDefault="00266DC1">
      <w:pPr>
        <w:pStyle w:val="Zkladntext"/>
      </w:pPr>
    </w:p>
    <w:p w:rsidR="00266DC1" w:rsidRDefault="00FB6CBD">
      <w:pPr>
        <w:pStyle w:val="Nadpis2"/>
        <w:numPr>
          <w:ilvl w:val="0"/>
          <w:numId w:val="1"/>
        </w:numPr>
        <w:tabs>
          <w:tab w:val="left" w:pos="836"/>
          <w:tab w:val="left" w:pos="837"/>
        </w:tabs>
        <w:spacing w:line="240" w:lineRule="auto"/>
        <w:ind w:hanging="721"/>
      </w:pPr>
      <w:r>
        <w:t>Symbolismus a</w:t>
      </w:r>
      <w:r>
        <w:rPr>
          <w:spacing w:val="-3"/>
        </w:rPr>
        <w:t xml:space="preserve"> </w:t>
      </w:r>
      <w:r>
        <w:t>secese</w:t>
      </w:r>
    </w:p>
    <w:p w:rsidR="00266DC1" w:rsidRDefault="00FB6CBD">
      <w:pPr>
        <w:pStyle w:val="Zkladntext"/>
        <w:tabs>
          <w:tab w:val="left" w:leader="dot" w:pos="8501"/>
        </w:tabs>
        <w:spacing w:before="2"/>
        <w:ind w:left="836"/>
      </w:pPr>
      <w:r>
        <w:t>(Charakteristika</w:t>
      </w:r>
      <w:r w:rsidR="00793F4E">
        <w:t>,</w:t>
      </w:r>
      <w:r>
        <w:t xml:space="preserve"> </w:t>
      </w:r>
      <w:r w:rsidR="0059620F">
        <w:t>malířství, sochařství, architektura, užité umění, hl. osobnosti</w:t>
      </w:r>
      <w:r>
        <w:t>)</w:t>
      </w:r>
    </w:p>
    <w:p w:rsidR="00266DC1" w:rsidRDefault="00266DC1">
      <w:pPr>
        <w:sectPr w:rsidR="00266DC1">
          <w:type w:val="continuous"/>
          <w:pgSz w:w="11910" w:h="16840"/>
          <w:pgMar w:top="1380" w:right="1300" w:bottom="280" w:left="1300" w:header="708" w:footer="708" w:gutter="0"/>
          <w:cols w:space="708"/>
        </w:sectPr>
      </w:pPr>
    </w:p>
    <w:p w:rsidR="00266DC1" w:rsidRDefault="00FB6CBD" w:rsidP="0059620F">
      <w:pPr>
        <w:pStyle w:val="Nadpis2"/>
        <w:numPr>
          <w:ilvl w:val="0"/>
          <w:numId w:val="1"/>
        </w:numPr>
        <w:tabs>
          <w:tab w:val="left" w:pos="836"/>
          <w:tab w:val="left" w:pos="837"/>
        </w:tabs>
        <w:ind w:hanging="721"/>
      </w:pPr>
      <w:r>
        <w:lastRenderedPageBreak/>
        <w:t>Fauvismus,</w:t>
      </w:r>
      <w:r>
        <w:rPr>
          <w:spacing w:val="-3"/>
        </w:rPr>
        <w:t xml:space="preserve"> </w:t>
      </w:r>
      <w:r>
        <w:t>expresionismus</w:t>
      </w:r>
      <w:r w:rsidR="0059620F">
        <w:t>, futurismus,</w:t>
      </w:r>
      <w:r w:rsidR="0059620F">
        <w:rPr>
          <w:spacing w:val="-1"/>
        </w:rPr>
        <w:t xml:space="preserve"> </w:t>
      </w:r>
      <w:r w:rsidR="0059620F">
        <w:t>kubismus</w:t>
      </w:r>
    </w:p>
    <w:p w:rsidR="00266DC1" w:rsidRDefault="00FB6CBD" w:rsidP="0059620F">
      <w:pPr>
        <w:pStyle w:val="Zkladntext"/>
        <w:tabs>
          <w:tab w:val="left" w:leader="dot" w:pos="8038"/>
        </w:tabs>
        <w:spacing w:line="252" w:lineRule="exact"/>
        <w:ind w:left="836"/>
      </w:pPr>
      <w:r>
        <w:t>(Charakteristika směrů, představitelé ve</w:t>
      </w:r>
      <w:r w:rsidR="0059620F">
        <w:t xml:space="preserve"> světovém umění</w:t>
      </w:r>
      <w:r>
        <w:t>)</w:t>
      </w:r>
    </w:p>
    <w:p w:rsidR="00266DC1" w:rsidRDefault="00266DC1">
      <w:pPr>
        <w:pStyle w:val="Zkladntext"/>
        <w:spacing w:before="2"/>
      </w:pPr>
    </w:p>
    <w:p w:rsidR="00266DC1" w:rsidRDefault="00FB6CBD">
      <w:pPr>
        <w:pStyle w:val="Nadpis2"/>
        <w:numPr>
          <w:ilvl w:val="0"/>
          <w:numId w:val="1"/>
        </w:numPr>
        <w:tabs>
          <w:tab w:val="left" w:pos="836"/>
          <w:tab w:val="left" w:pos="837"/>
        </w:tabs>
        <w:ind w:hanging="721"/>
      </w:pPr>
      <w:r>
        <w:t>Dadaismus a surrealismus v</w:t>
      </w:r>
      <w:r w:rsidR="0059620F">
        <w:t xml:space="preserve"> české a </w:t>
      </w:r>
      <w:r>
        <w:t>světové</w:t>
      </w:r>
      <w:r>
        <w:rPr>
          <w:spacing w:val="-3"/>
        </w:rPr>
        <w:t xml:space="preserve"> </w:t>
      </w:r>
      <w:r>
        <w:t>tvorbě</w:t>
      </w:r>
    </w:p>
    <w:p w:rsidR="00266DC1" w:rsidRDefault="00FB6CBD">
      <w:pPr>
        <w:pStyle w:val="Zkladntext"/>
        <w:spacing w:line="252" w:lineRule="exact"/>
        <w:ind w:left="836"/>
      </w:pPr>
      <w:r>
        <w:t>(Charakteristika směrů</w:t>
      </w:r>
      <w:r w:rsidR="00793F4E">
        <w:t>,</w:t>
      </w:r>
      <w:r>
        <w:t xml:space="preserve"> </w:t>
      </w:r>
      <w:r w:rsidR="00BA1730">
        <w:t>h</w:t>
      </w:r>
      <w:r w:rsidR="0059620F">
        <w:t>l. osobnosti</w:t>
      </w:r>
      <w:r w:rsidR="00793F4E">
        <w:t xml:space="preserve">, </w:t>
      </w:r>
      <w:proofErr w:type="spellStart"/>
      <w:r>
        <w:t>Duchamp</w:t>
      </w:r>
      <w:proofErr w:type="spellEnd"/>
      <w:r>
        <w:t>, Ernst, Dalí,</w:t>
      </w:r>
      <w:r w:rsidR="0059620F">
        <w:t xml:space="preserve"> Šíma, </w:t>
      </w:r>
      <w:proofErr w:type="spellStart"/>
      <w:r w:rsidR="0059620F">
        <w:t>Toyen</w:t>
      </w:r>
      <w:proofErr w:type="spellEnd"/>
      <w:r w:rsidR="0059620F">
        <w:t>, Muzika</w:t>
      </w:r>
      <w:r w:rsidR="00BA1730">
        <w:t>, Štyrský</w:t>
      </w:r>
      <w:r>
        <w:t>)</w:t>
      </w:r>
    </w:p>
    <w:p w:rsidR="00266DC1" w:rsidRDefault="00266DC1">
      <w:pPr>
        <w:pStyle w:val="Zkladntext"/>
      </w:pPr>
    </w:p>
    <w:p w:rsidR="00266DC1" w:rsidRDefault="00BA1730">
      <w:pPr>
        <w:pStyle w:val="Nadpis2"/>
        <w:numPr>
          <w:ilvl w:val="0"/>
          <w:numId w:val="1"/>
        </w:numPr>
        <w:tabs>
          <w:tab w:val="left" w:pos="836"/>
          <w:tab w:val="left" w:pos="837"/>
        </w:tabs>
        <w:spacing w:before="1" w:line="240" w:lineRule="auto"/>
        <w:ind w:hanging="721"/>
      </w:pPr>
      <w:r>
        <w:t xml:space="preserve">Výtvarné tendence </w:t>
      </w:r>
      <w:r w:rsidR="00FB6CBD">
        <w:t>ve svět</w:t>
      </w:r>
      <w:r>
        <w:t>ovém a českém umění</w:t>
      </w:r>
      <w:r w:rsidR="00FB6CBD">
        <w:t xml:space="preserve"> v 1. pol. 20.</w:t>
      </w:r>
      <w:r w:rsidR="00FB6CBD">
        <w:rPr>
          <w:spacing w:val="-7"/>
        </w:rPr>
        <w:t xml:space="preserve"> </w:t>
      </w:r>
      <w:r w:rsidR="00FB6CBD">
        <w:t>stol.</w:t>
      </w:r>
    </w:p>
    <w:p w:rsidR="00266DC1" w:rsidRDefault="00FB6CBD">
      <w:pPr>
        <w:pStyle w:val="Zkladntext"/>
        <w:tabs>
          <w:tab w:val="left" w:leader="dot" w:pos="7899"/>
        </w:tabs>
        <w:spacing w:before="1"/>
        <w:ind w:left="1537" w:right="770" w:hanging="701"/>
      </w:pPr>
      <w:r>
        <w:t>(Orfismus, neoplasticismus, akční malba, abstraktní expresionismus a lyrická abstrakce, op-art</w:t>
      </w:r>
      <w:r w:rsidR="00BA1730">
        <w:t>…</w:t>
      </w:r>
      <w:r>
        <w:t>)</w:t>
      </w:r>
    </w:p>
    <w:p w:rsidR="00266DC1" w:rsidRDefault="00266DC1">
      <w:pPr>
        <w:pStyle w:val="Zkladntext"/>
      </w:pPr>
    </w:p>
    <w:p w:rsidR="00266DC1" w:rsidRDefault="00BA1730">
      <w:pPr>
        <w:pStyle w:val="Nadpis2"/>
        <w:numPr>
          <w:ilvl w:val="0"/>
          <w:numId w:val="1"/>
        </w:numPr>
        <w:tabs>
          <w:tab w:val="left" w:pos="836"/>
          <w:tab w:val="left" w:pos="837"/>
        </w:tabs>
        <w:spacing w:before="1"/>
        <w:ind w:hanging="721"/>
      </w:pPr>
      <w:r>
        <w:t>Figurativní tendence ve světovém a českém umění v 1. pol. 20.</w:t>
      </w:r>
      <w:r>
        <w:rPr>
          <w:spacing w:val="-7"/>
        </w:rPr>
        <w:t xml:space="preserve"> </w:t>
      </w:r>
      <w:r>
        <w:t>stol.</w:t>
      </w:r>
    </w:p>
    <w:p w:rsidR="00266DC1" w:rsidRDefault="00FB6CBD">
      <w:pPr>
        <w:pStyle w:val="Zkladntext"/>
        <w:tabs>
          <w:tab w:val="left" w:leader="dot" w:pos="3847"/>
        </w:tabs>
        <w:ind w:left="1537" w:right="1844" w:hanging="701"/>
      </w:pPr>
      <w:r>
        <w:t>(</w:t>
      </w:r>
      <w:r w:rsidR="0059620F">
        <w:t xml:space="preserve">Představení směrů, </w:t>
      </w:r>
      <w:r>
        <w:t>Pop-art,</w:t>
      </w:r>
      <w:r>
        <w:rPr>
          <w:spacing w:val="-2"/>
        </w:rPr>
        <w:t xml:space="preserve"> </w:t>
      </w:r>
      <w:r>
        <w:t>fotorealismus</w:t>
      </w:r>
      <w:r w:rsidR="00793F4E">
        <w:t>,</w:t>
      </w:r>
      <w:r>
        <w:t xml:space="preserve"> body-art</w:t>
      </w:r>
      <w:r w:rsidR="00793F4E">
        <w:t>,</w:t>
      </w:r>
      <w:r>
        <w:t xml:space="preserve"> nová figurace</w:t>
      </w:r>
      <w:r w:rsidR="00BA1730">
        <w:t>,</w:t>
      </w:r>
      <w:r>
        <w:t xml:space="preserve"> </w:t>
      </w:r>
      <w:proofErr w:type="spellStart"/>
      <w:r>
        <w:t>neoexpresionismus</w:t>
      </w:r>
      <w:proofErr w:type="spellEnd"/>
      <w:r>
        <w:t>,</w:t>
      </w:r>
      <w:r w:rsidR="00BA1730" w:rsidRPr="00BA1730">
        <w:t xml:space="preserve"> </w:t>
      </w:r>
      <w:r w:rsidR="00BA1730">
        <w:t>nová citlivost,</w:t>
      </w:r>
      <w:r w:rsidR="00BA1730">
        <w:rPr>
          <w:spacing w:val="-15"/>
        </w:rPr>
        <w:t xml:space="preserve"> </w:t>
      </w:r>
      <w:r w:rsidR="00BA1730">
        <w:t>performance, výtvarné skupiny</w:t>
      </w:r>
      <w:r w:rsidR="0059620F">
        <w:t>)</w:t>
      </w:r>
    </w:p>
    <w:p w:rsidR="00266DC1" w:rsidRDefault="00266DC1">
      <w:pPr>
        <w:pStyle w:val="Zkladntext"/>
        <w:spacing w:before="1"/>
      </w:pPr>
    </w:p>
    <w:p w:rsidR="00266DC1" w:rsidRDefault="00FB6CBD">
      <w:pPr>
        <w:pStyle w:val="Nadpis2"/>
        <w:numPr>
          <w:ilvl w:val="0"/>
          <w:numId w:val="1"/>
        </w:numPr>
        <w:tabs>
          <w:tab w:val="left" w:pos="836"/>
          <w:tab w:val="left" w:pos="837"/>
        </w:tabs>
        <w:ind w:hanging="721"/>
      </w:pPr>
      <w:r>
        <w:t>Nefigurativní tendence ve světovém umění 2. pol. 20. stol. (od 70.</w:t>
      </w:r>
      <w:r>
        <w:rPr>
          <w:spacing w:val="-11"/>
        </w:rPr>
        <w:t xml:space="preserve"> </w:t>
      </w:r>
      <w:r>
        <w:t>let)</w:t>
      </w:r>
    </w:p>
    <w:p w:rsidR="00266DC1" w:rsidRDefault="00FB6CBD">
      <w:pPr>
        <w:pStyle w:val="Zkladntext"/>
        <w:tabs>
          <w:tab w:val="left" w:leader="dot" w:pos="6309"/>
        </w:tabs>
        <w:ind w:left="1537" w:right="294" w:hanging="701"/>
      </w:pPr>
      <w:r>
        <w:t>(</w:t>
      </w:r>
      <w:r w:rsidR="0059620F">
        <w:t>Představení směrů</w:t>
      </w:r>
      <w:r w:rsidR="00702D0C">
        <w:t>,</w:t>
      </w:r>
      <w:r w:rsidR="0059620F">
        <w:t xml:space="preserve"> </w:t>
      </w:r>
      <w:proofErr w:type="spellStart"/>
      <w:r w:rsidR="00702D0C">
        <w:t>l</w:t>
      </w:r>
      <w:r>
        <w:t>and</w:t>
      </w:r>
      <w:proofErr w:type="spellEnd"/>
      <w:r>
        <w:t>-art,</w:t>
      </w:r>
      <w:r w:rsidR="000C5515">
        <w:t xml:space="preserve"> </w:t>
      </w:r>
      <w:r>
        <w:t>minimalismus, konceptualismus, akce,</w:t>
      </w:r>
      <w:r>
        <w:rPr>
          <w:spacing w:val="-1"/>
        </w:rPr>
        <w:t xml:space="preserve"> </w:t>
      </w:r>
      <w:r>
        <w:t>instalace</w:t>
      </w:r>
      <w:r w:rsidR="000C5515">
        <w:t>, performance</w:t>
      </w:r>
      <w:r>
        <w:t>)</w:t>
      </w:r>
    </w:p>
    <w:p w:rsidR="00266DC1" w:rsidRDefault="00266DC1">
      <w:pPr>
        <w:pStyle w:val="Zkladntext"/>
        <w:spacing w:before="10"/>
        <w:rPr>
          <w:sz w:val="21"/>
        </w:rPr>
      </w:pPr>
    </w:p>
    <w:p w:rsidR="0059620F" w:rsidRDefault="0059620F" w:rsidP="0059620F">
      <w:pPr>
        <w:pStyle w:val="Nadpis2"/>
        <w:numPr>
          <w:ilvl w:val="0"/>
          <w:numId w:val="1"/>
        </w:numPr>
        <w:tabs>
          <w:tab w:val="left" w:pos="836"/>
          <w:tab w:val="left" w:pos="837"/>
        </w:tabs>
        <w:ind w:hanging="721"/>
        <w:rPr>
          <w:b w:val="0"/>
        </w:rPr>
      </w:pPr>
      <w:r>
        <w:t>Světová architektura 20</w:t>
      </w:r>
      <w:r w:rsidR="00BA1730">
        <w:t>.</w:t>
      </w:r>
      <w:r>
        <w:t xml:space="preserve"> století</w:t>
      </w:r>
    </w:p>
    <w:p w:rsidR="0059620F" w:rsidRDefault="0059620F" w:rsidP="0059620F">
      <w:pPr>
        <w:pStyle w:val="Zkladntext"/>
        <w:tabs>
          <w:tab w:val="left" w:leader="dot" w:pos="7769"/>
        </w:tabs>
        <w:spacing w:line="252" w:lineRule="exact"/>
        <w:ind w:left="836"/>
      </w:pPr>
      <w:r>
        <w:t>(</w:t>
      </w:r>
      <w:r w:rsidR="00702D0C">
        <w:t>Světové a české tendence, charakteristika stylů, hlavní osobnosti)</w:t>
      </w:r>
    </w:p>
    <w:p w:rsidR="0059620F" w:rsidRDefault="0059620F" w:rsidP="0059620F">
      <w:pPr>
        <w:pStyle w:val="Zkladntext"/>
        <w:tabs>
          <w:tab w:val="left" w:leader="dot" w:pos="7769"/>
        </w:tabs>
        <w:spacing w:line="252" w:lineRule="exact"/>
        <w:ind w:left="836"/>
      </w:pPr>
    </w:p>
    <w:p w:rsidR="0059620F" w:rsidRDefault="0059620F" w:rsidP="0059620F">
      <w:pPr>
        <w:pStyle w:val="Nadpis2"/>
        <w:numPr>
          <w:ilvl w:val="0"/>
          <w:numId w:val="1"/>
        </w:numPr>
        <w:tabs>
          <w:tab w:val="left" w:pos="836"/>
          <w:tab w:val="left" w:pos="837"/>
        </w:tabs>
        <w:spacing w:line="240" w:lineRule="auto"/>
        <w:ind w:hanging="721"/>
      </w:pPr>
      <w:r>
        <w:t>Současné světové a české umění a umělecký provoz</w:t>
      </w:r>
    </w:p>
    <w:p w:rsidR="0059620F" w:rsidRDefault="0059620F" w:rsidP="00702D0C">
      <w:pPr>
        <w:pStyle w:val="Zkladntext"/>
        <w:tabs>
          <w:tab w:val="left" w:leader="dot" w:pos="8222"/>
        </w:tabs>
        <w:spacing w:before="1" w:line="252" w:lineRule="exact"/>
        <w:ind w:left="836"/>
      </w:pPr>
      <w:r>
        <w:t>(</w:t>
      </w:r>
      <w:r w:rsidR="00702D0C">
        <w:t>Představení směrů, škol, tendencí a skupin</w:t>
      </w:r>
      <w:r w:rsidR="00793F4E">
        <w:t>,</w:t>
      </w:r>
      <w:r w:rsidR="00702D0C">
        <w:t xml:space="preserve"> </w:t>
      </w:r>
      <w:r w:rsidR="002853A8">
        <w:t>h</w:t>
      </w:r>
      <w:r w:rsidR="00702D0C">
        <w:t>lavní osobnosti</w:t>
      </w:r>
      <w:r w:rsidR="002853A8">
        <w:t xml:space="preserve"> -</w:t>
      </w:r>
      <w:r w:rsidR="00702D0C">
        <w:t xml:space="preserve"> F. Skála, M. </w:t>
      </w:r>
      <w:proofErr w:type="spellStart"/>
      <w:r w:rsidR="00702D0C">
        <w:t>Rittstein</w:t>
      </w:r>
      <w:proofErr w:type="spellEnd"/>
      <w:r w:rsidR="00702D0C">
        <w:t>, M. Gabriel</w:t>
      </w:r>
      <w:r w:rsidR="002853A8">
        <w:t>…</w:t>
      </w:r>
      <w:r w:rsidR="00BA1730">
        <w:t xml:space="preserve">, </w:t>
      </w:r>
      <w:r w:rsidR="00702D0C">
        <w:t>g</w:t>
      </w:r>
      <w:r>
        <w:t>alerie, muzea, výstavní prostory</w:t>
      </w:r>
      <w:r w:rsidR="0020007D">
        <w:t>, publikace</w:t>
      </w:r>
      <w:r w:rsidR="002853A8">
        <w:t>, soutěže</w:t>
      </w:r>
      <w:r w:rsidR="00702D0C">
        <w:t>)</w:t>
      </w:r>
    </w:p>
    <w:p w:rsidR="0059620F" w:rsidRDefault="0059620F" w:rsidP="0059620F">
      <w:pPr>
        <w:pStyle w:val="Zkladntext"/>
        <w:tabs>
          <w:tab w:val="left" w:leader="dot" w:pos="7769"/>
        </w:tabs>
        <w:spacing w:line="252" w:lineRule="exact"/>
        <w:ind w:left="836"/>
      </w:pPr>
    </w:p>
    <w:p w:rsidR="0059620F" w:rsidRDefault="0059620F">
      <w:pPr>
        <w:pStyle w:val="Zkladntext"/>
        <w:tabs>
          <w:tab w:val="left" w:leader="dot" w:pos="2450"/>
        </w:tabs>
        <w:spacing w:line="252" w:lineRule="exact"/>
        <w:ind w:left="836"/>
      </w:pPr>
    </w:p>
    <w:p w:rsidR="00266DC1" w:rsidRDefault="00266DC1">
      <w:pPr>
        <w:pStyle w:val="Zkladntext"/>
      </w:pPr>
    </w:p>
    <w:p w:rsidR="00266DC1" w:rsidRDefault="00266DC1">
      <w:pPr>
        <w:pStyle w:val="Zkladntext"/>
        <w:rPr>
          <w:sz w:val="24"/>
        </w:rPr>
      </w:pPr>
    </w:p>
    <w:p w:rsidR="00266DC1" w:rsidRDefault="00266DC1">
      <w:pPr>
        <w:pStyle w:val="Zkladntext"/>
        <w:rPr>
          <w:sz w:val="24"/>
        </w:rPr>
      </w:pPr>
    </w:p>
    <w:p w:rsidR="00266DC1" w:rsidRDefault="00266DC1">
      <w:pPr>
        <w:pStyle w:val="Zkladntext"/>
        <w:rPr>
          <w:sz w:val="24"/>
        </w:rPr>
      </w:pPr>
    </w:p>
    <w:p w:rsidR="00266DC1" w:rsidRDefault="00266DC1">
      <w:pPr>
        <w:pStyle w:val="Zkladntext"/>
        <w:rPr>
          <w:sz w:val="24"/>
        </w:rPr>
      </w:pPr>
    </w:p>
    <w:p w:rsidR="00266DC1" w:rsidRDefault="00FB6CBD">
      <w:pPr>
        <w:pStyle w:val="Zkladntext"/>
        <w:spacing w:before="168"/>
        <w:ind w:right="113"/>
        <w:jc w:val="right"/>
        <w:rPr>
          <w:rFonts w:ascii="Carlito" w:hAnsi="Carlito"/>
        </w:rPr>
      </w:pPr>
      <w:r>
        <w:rPr>
          <w:rFonts w:ascii="Carlito" w:hAnsi="Carlito"/>
        </w:rPr>
        <w:t>Za komisi výtvarné</w:t>
      </w:r>
      <w:r>
        <w:rPr>
          <w:rFonts w:ascii="Carlito" w:hAnsi="Carlito"/>
          <w:spacing w:val="-8"/>
        </w:rPr>
        <w:t xml:space="preserve"> </w:t>
      </w:r>
      <w:r>
        <w:rPr>
          <w:rFonts w:ascii="Carlito" w:hAnsi="Carlito"/>
        </w:rPr>
        <w:t>výchovy</w:t>
      </w:r>
    </w:p>
    <w:p w:rsidR="00266DC1" w:rsidRDefault="00266DC1">
      <w:pPr>
        <w:pStyle w:val="Zkladntext"/>
        <w:spacing w:before="11"/>
        <w:rPr>
          <w:rFonts w:ascii="Carlito"/>
          <w:sz w:val="21"/>
        </w:rPr>
      </w:pPr>
    </w:p>
    <w:p w:rsidR="00266DC1" w:rsidRDefault="00FB6CBD">
      <w:pPr>
        <w:pStyle w:val="Zkladntext"/>
        <w:ind w:right="112"/>
        <w:jc w:val="right"/>
        <w:rPr>
          <w:rFonts w:ascii="Carlito" w:hAnsi="Carlito"/>
        </w:rPr>
      </w:pPr>
      <w:r>
        <w:rPr>
          <w:rFonts w:ascii="Carlito" w:hAnsi="Carlito"/>
        </w:rPr>
        <w:t>Mgr. Jan</w:t>
      </w:r>
      <w:r>
        <w:rPr>
          <w:rFonts w:ascii="Carlito" w:hAnsi="Carlito"/>
          <w:spacing w:val="-3"/>
        </w:rPr>
        <w:t xml:space="preserve"> </w:t>
      </w:r>
      <w:proofErr w:type="spellStart"/>
      <w:r>
        <w:rPr>
          <w:rFonts w:ascii="Carlito" w:hAnsi="Carlito"/>
        </w:rPr>
        <w:t>Černoš</w:t>
      </w:r>
      <w:proofErr w:type="spellEnd"/>
    </w:p>
    <w:sectPr w:rsidR="00266DC1"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72D61"/>
    <w:multiLevelType w:val="hybridMultilevel"/>
    <w:tmpl w:val="03F8B42E"/>
    <w:lvl w:ilvl="0" w:tplc="D7847FAE">
      <w:start w:val="1"/>
      <w:numFmt w:val="decimal"/>
      <w:lvlText w:val="%1."/>
      <w:lvlJc w:val="left"/>
      <w:pPr>
        <w:ind w:left="836" w:hanging="720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cs-CZ" w:eastAsia="en-US" w:bidi="ar-SA"/>
      </w:rPr>
    </w:lvl>
    <w:lvl w:ilvl="1" w:tplc="5E4E3D4E">
      <w:numFmt w:val="bullet"/>
      <w:lvlText w:val="•"/>
      <w:lvlJc w:val="left"/>
      <w:pPr>
        <w:ind w:left="1686" w:hanging="720"/>
      </w:pPr>
      <w:rPr>
        <w:rFonts w:hint="default"/>
        <w:lang w:val="cs-CZ" w:eastAsia="en-US" w:bidi="ar-SA"/>
      </w:rPr>
    </w:lvl>
    <w:lvl w:ilvl="2" w:tplc="333E2112">
      <w:numFmt w:val="bullet"/>
      <w:lvlText w:val="•"/>
      <w:lvlJc w:val="left"/>
      <w:pPr>
        <w:ind w:left="2533" w:hanging="720"/>
      </w:pPr>
      <w:rPr>
        <w:rFonts w:hint="default"/>
        <w:lang w:val="cs-CZ" w:eastAsia="en-US" w:bidi="ar-SA"/>
      </w:rPr>
    </w:lvl>
    <w:lvl w:ilvl="3" w:tplc="10224224">
      <w:numFmt w:val="bullet"/>
      <w:lvlText w:val="•"/>
      <w:lvlJc w:val="left"/>
      <w:pPr>
        <w:ind w:left="3379" w:hanging="720"/>
      </w:pPr>
      <w:rPr>
        <w:rFonts w:hint="default"/>
        <w:lang w:val="cs-CZ" w:eastAsia="en-US" w:bidi="ar-SA"/>
      </w:rPr>
    </w:lvl>
    <w:lvl w:ilvl="4" w:tplc="C4DA7A78">
      <w:numFmt w:val="bullet"/>
      <w:lvlText w:val="•"/>
      <w:lvlJc w:val="left"/>
      <w:pPr>
        <w:ind w:left="4226" w:hanging="720"/>
      </w:pPr>
      <w:rPr>
        <w:rFonts w:hint="default"/>
        <w:lang w:val="cs-CZ" w:eastAsia="en-US" w:bidi="ar-SA"/>
      </w:rPr>
    </w:lvl>
    <w:lvl w:ilvl="5" w:tplc="AEEC0D0C">
      <w:numFmt w:val="bullet"/>
      <w:lvlText w:val="•"/>
      <w:lvlJc w:val="left"/>
      <w:pPr>
        <w:ind w:left="5073" w:hanging="720"/>
      </w:pPr>
      <w:rPr>
        <w:rFonts w:hint="default"/>
        <w:lang w:val="cs-CZ" w:eastAsia="en-US" w:bidi="ar-SA"/>
      </w:rPr>
    </w:lvl>
    <w:lvl w:ilvl="6" w:tplc="C868D09E">
      <w:numFmt w:val="bullet"/>
      <w:lvlText w:val="•"/>
      <w:lvlJc w:val="left"/>
      <w:pPr>
        <w:ind w:left="5919" w:hanging="720"/>
      </w:pPr>
      <w:rPr>
        <w:rFonts w:hint="default"/>
        <w:lang w:val="cs-CZ" w:eastAsia="en-US" w:bidi="ar-SA"/>
      </w:rPr>
    </w:lvl>
    <w:lvl w:ilvl="7" w:tplc="D76A8DCE">
      <w:numFmt w:val="bullet"/>
      <w:lvlText w:val="•"/>
      <w:lvlJc w:val="left"/>
      <w:pPr>
        <w:ind w:left="6766" w:hanging="720"/>
      </w:pPr>
      <w:rPr>
        <w:rFonts w:hint="default"/>
        <w:lang w:val="cs-CZ" w:eastAsia="en-US" w:bidi="ar-SA"/>
      </w:rPr>
    </w:lvl>
    <w:lvl w:ilvl="8" w:tplc="B3F2C084">
      <w:numFmt w:val="bullet"/>
      <w:lvlText w:val="•"/>
      <w:lvlJc w:val="left"/>
      <w:pPr>
        <w:ind w:left="7613" w:hanging="72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DC1"/>
    <w:rsid w:val="00044CEC"/>
    <w:rsid w:val="000C5515"/>
    <w:rsid w:val="001438CD"/>
    <w:rsid w:val="0020007D"/>
    <w:rsid w:val="00236498"/>
    <w:rsid w:val="00266DC1"/>
    <w:rsid w:val="002853A8"/>
    <w:rsid w:val="0059620F"/>
    <w:rsid w:val="006165DF"/>
    <w:rsid w:val="00702D0C"/>
    <w:rsid w:val="007856AC"/>
    <w:rsid w:val="00793F4E"/>
    <w:rsid w:val="007C797D"/>
    <w:rsid w:val="00B22267"/>
    <w:rsid w:val="00B71938"/>
    <w:rsid w:val="00BA1730"/>
    <w:rsid w:val="00CD189B"/>
    <w:rsid w:val="00CF37F1"/>
    <w:rsid w:val="00FB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165E"/>
  <w15:docId w15:val="{6554474A-FA0E-4E4A-8BC8-9238E6AC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ind w:left="2642" w:right="2644"/>
      <w:jc w:val="center"/>
      <w:outlineLvl w:val="0"/>
    </w:pPr>
    <w:rPr>
      <w:rFonts w:ascii="Carlito" w:eastAsia="Carlito" w:hAnsi="Carlito" w:cs="Carlito"/>
      <w:b/>
      <w:bCs/>
      <w:sz w:val="32"/>
      <w:szCs w:val="32"/>
    </w:rPr>
  </w:style>
  <w:style w:type="paragraph" w:styleId="Nadpis2">
    <w:name w:val="heading 2"/>
    <w:basedOn w:val="Normln"/>
    <w:uiPriority w:val="1"/>
    <w:qFormat/>
    <w:pPr>
      <w:spacing w:line="252" w:lineRule="exact"/>
      <w:ind w:left="836" w:hanging="721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line="252" w:lineRule="exact"/>
      <w:ind w:left="836" w:hanging="72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383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Jméno:</dc:creator>
  <cp:lastModifiedBy>cernos</cp:lastModifiedBy>
  <cp:revision>11</cp:revision>
  <dcterms:created xsi:type="dcterms:W3CDTF">2022-06-21T06:41:00Z</dcterms:created>
  <dcterms:modified xsi:type="dcterms:W3CDTF">2022-09-02T08:08:00Z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2020-06-16T00:00:00Z</vt:filetime>
  </property>
</Properties>
</file>